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0D0826" w:rsidRDefault="003C5D4B" w:rsidP="000D0826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0D0826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0D0826" w:rsidRDefault="0069404C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0D0826" w:rsidRDefault="00DD7544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0D0826" w:rsidRDefault="00DD7544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0D0826" w:rsidRDefault="00DD7544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0D0826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0D0826" w:rsidRDefault="0069404C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0D0826" w:rsidRDefault="00A8635E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7FD1481B" w:rsidR="0069404C" w:rsidRPr="000D0826" w:rsidRDefault="000D0826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 xml:space="preserve">Mali </w:t>
            </w:r>
            <w:r w:rsidR="002D43C0" w:rsidRPr="000D0826">
              <w:rPr>
                <w:rFonts w:ascii="Cambria" w:hAnsi="Cambria" w:cs="Times New Roman"/>
              </w:rPr>
              <w:t>İşler</w:t>
            </w:r>
          </w:p>
        </w:tc>
        <w:tc>
          <w:tcPr>
            <w:tcW w:w="3232" w:type="dxa"/>
          </w:tcPr>
          <w:p w14:paraId="5FBF9175" w14:textId="01FA9766" w:rsidR="00A8635E" w:rsidRPr="000D0826" w:rsidRDefault="00A8635E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>Fakülte Sekreteri,</w:t>
            </w:r>
          </w:p>
          <w:p w14:paraId="7A0ECA71" w14:textId="532579D4" w:rsidR="0069404C" w:rsidRPr="000D0826" w:rsidRDefault="00A8635E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Pr="000D0826" w:rsidRDefault="00916CB0" w:rsidP="000D0826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1117BE07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  <w:r w:rsidRPr="000D0826">
        <w:rPr>
          <w:rFonts w:ascii="Cambria" w:hAnsi="Cambria"/>
          <w:b/>
          <w:bCs/>
          <w:sz w:val="22"/>
          <w:szCs w:val="22"/>
        </w:rPr>
        <w:t>A. Mali İşlerde görevli personelin görev yetki ve sorumlulukları şunlardır;</w:t>
      </w:r>
    </w:p>
    <w:p w14:paraId="460D5BDA" w14:textId="28BD0711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1. Fakültede yapılacak görevlendirmelere ait harcırah ödemeleri dâhil bütün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harcamaların evrakını bütçe tertibine ve usulüne uygun olarak hazırlamak, Strateji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Geliştirme Dairesi Başkanlığına sunmak ve takibini yapmak,</w:t>
      </w:r>
    </w:p>
    <w:p w14:paraId="7B9F8A5B" w14:textId="79AA374A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2. Her türlü ödemenin zamanında yapılmasını sağlamak, bu konuda gerekli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önlemleri almak,</w:t>
      </w:r>
    </w:p>
    <w:p w14:paraId="1B259F11" w14:textId="2C86B6E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3. Fakültede görev yapan akademik ve idari personelin maaş, ek ders, sınav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ücretleri, yabancı uyruklu sözleşmeli personel maaşı ve SSK primleri, stajyer öğrenci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SSK primleri, Bilim jüri üyeliği ücretleri, doğum ve ölüm yardımı ücretlerinin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ödenmesi ile ilgili iş ve işlemleri mevzuata uygun olarak yürütmek,</w:t>
      </w:r>
    </w:p>
    <w:p w14:paraId="6A0DBCD0" w14:textId="7F474816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4. Harcama ve tahakkukla ilgili yazışmaları yapmak, dosyaları tutmak,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yedeklemek ve arşivlenmesini sağlamak.</w:t>
      </w:r>
    </w:p>
    <w:p w14:paraId="33636070" w14:textId="5BDCC45C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5. Fakülteye bağlı bölümlerden ve idari birimlerden gelen sarf malzeme ve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demirbaş malzeme taleplerini onaya sunmak, tedarik ve takibini sağlamak,</w:t>
      </w:r>
    </w:p>
    <w:p w14:paraId="3E612E0B" w14:textId="454DC8BD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6. Fakültenin ihtiyaç duyduğu mal, malzeme alımlarına ait satın alma evraklarını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hazırlamak (yaklaşık maliyet, piyasa araştırması, mal muayene kabul, hizmet işleri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kabul, ihale onay ve ödeme emri tekliflerin alınması, satın alma onay belgesi vb.)</w:t>
      </w:r>
    </w:p>
    <w:p w14:paraId="029815B7" w14:textId="2421C7A5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7. Fakültenin ihale işlerini, Avans ve Kredi Mutemetliği görevini yürütmek,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 xml:space="preserve">mahsupları düzenlemek, teslim evrakları </w:t>
      </w:r>
      <w:proofErr w:type="gramStart"/>
      <w:r w:rsidRPr="000D0826">
        <w:rPr>
          <w:rFonts w:ascii="Cambria" w:hAnsi="Cambria"/>
          <w:sz w:val="22"/>
          <w:szCs w:val="22"/>
        </w:rPr>
        <w:t>ile birlikte</w:t>
      </w:r>
      <w:proofErr w:type="gramEnd"/>
      <w:r w:rsidRPr="000D0826">
        <w:rPr>
          <w:rFonts w:ascii="Cambria" w:hAnsi="Cambria"/>
          <w:sz w:val="22"/>
          <w:szCs w:val="22"/>
        </w:rPr>
        <w:t xml:space="preserve"> Strateji Geliştirme Daire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Başkanlığı’na sunmak,</w:t>
      </w:r>
    </w:p>
    <w:p w14:paraId="68AA2FCA" w14:textId="3D5BA791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8. Fakültenin ön mali kontrol gerektiren işlemini gerektiren evrakları hazırlamak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ve takibini yapmak,</w:t>
      </w:r>
    </w:p>
    <w:p w14:paraId="102C20DC" w14:textId="09A592D2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9. Fakültenin Aylık ve Yıllık Faaliyet Raporları dâhil görev alanı ile ilgili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raporları ve planları hazırlamak, bunlar için temel teşkil eden istatistikî bilgileri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tutmak,</w:t>
      </w:r>
    </w:p>
    <w:p w14:paraId="695FEDF5" w14:textId="44C0A4A1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10. Fakültenin Bütçe Tasarısını, Taşınır Mal İşlemleri sorumlusu ile eşgüdümlü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olarak hazırlamak,</w:t>
      </w:r>
    </w:p>
    <w:p w14:paraId="5BD9758C" w14:textId="2CBBC4B9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11. Ödemelere esas teşkil edecek bilgi ve belgenin, istenmesine rağmen zamanında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teslim etmeyen kişileri veya kişilere yapılacak ödemelerin gecikmesine yol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açabilecek her türlü bilgiyi zamanında amirlerine bildirmek.</w:t>
      </w:r>
    </w:p>
    <w:p w14:paraId="6D123197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</w:p>
    <w:p w14:paraId="5FD518C8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</w:p>
    <w:p w14:paraId="525FC814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</w:p>
    <w:p w14:paraId="6601792F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</w:p>
    <w:p w14:paraId="5EFFFB27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</w:p>
    <w:p w14:paraId="407F72EC" w14:textId="6192FCFA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b/>
          <w:bCs/>
          <w:sz w:val="22"/>
          <w:szCs w:val="22"/>
        </w:rPr>
      </w:pPr>
      <w:r w:rsidRPr="000D0826">
        <w:rPr>
          <w:rFonts w:ascii="Cambria" w:hAnsi="Cambria"/>
          <w:b/>
          <w:bCs/>
          <w:sz w:val="22"/>
          <w:szCs w:val="22"/>
        </w:rPr>
        <w:lastRenderedPageBreak/>
        <w:t>B. Taşınır Kayıt İşleri Yetkilisinin görev, yetki ve sorumlulukları şunlardır;</w:t>
      </w:r>
    </w:p>
    <w:p w14:paraId="74689342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1. Fakültenin taşınır malzeme ihtiyaçlarını tespit etmek, temin edilmesini sağlamak,</w:t>
      </w:r>
    </w:p>
    <w:p w14:paraId="02EAF6FF" w14:textId="39FB4094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2. Tüketim ve demirbaş (eğitim malzemeleri, kırtasiye, bina bakım ve onarım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malzemeleri, ahşap ve metal malzemeleri, elektronik donanım ve teknolojik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malzemeleri, makine ve teçhizat alım ve bakımları vb.) malzemenin satın alınması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sonrası kayıt ile ilgili işlemlerini yapmak,</w:t>
      </w:r>
    </w:p>
    <w:p w14:paraId="11416E94" w14:textId="13AAEC11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3. Her türlü malzemenin depoya giriş-çıkış iş ve işlemlerini mevzuata uygun olarak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yapmak,</w:t>
      </w:r>
    </w:p>
    <w:p w14:paraId="10333D68" w14:textId="6C55DAD9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4. Taşınır işlem fişi, zimmet fişi, sayım tutanağı vb. evrakı usulüne uygun olarak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düzenlemek, kayıt altına almak ve arşivlemek,</w:t>
      </w:r>
    </w:p>
    <w:p w14:paraId="7360989A" w14:textId="6289E56A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5. Fakülteye ait bölümlerin malzeme taleplerini, amirlerinin bilgisi dâhilinde ve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ambar mevcudu oranında karşılamak, biten ya da bitmek üzere olan malzeme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durumunu amirlerine düzenli olarak bilgisini vermek,</w:t>
      </w:r>
    </w:p>
    <w:p w14:paraId="5BCB35E4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6. Depoları daima temiz, düzenli, aranılanı kolayca bulacak şekilde tutmak,</w:t>
      </w:r>
    </w:p>
    <w:p w14:paraId="1DDF65E4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7. Tüketime verilen malzemelerin TİF düzenleyerek çıkış kaydını yapmak,</w:t>
      </w:r>
    </w:p>
    <w:p w14:paraId="1E548B2F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8. Üçer aylık tüketim çıkış raporlarının hazırlanması,</w:t>
      </w:r>
    </w:p>
    <w:p w14:paraId="5416E721" w14:textId="4B7426DF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9. Fakülteye gelen devir, hibe ve bağışların giriş kaydını yapmak, zimmet fişini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hazırlamak, takibini ve birimlere dağıtılmasını sağlamak,</w:t>
      </w:r>
    </w:p>
    <w:p w14:paraId="0DADBCFA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10. Projelerden alınan taşınırların kayıt ve işlemlerini yapmak,</w:t>
      </w:r>
    </w:p>
    <w:p w14:paraId="31ED885D" w14:textId="2F5A1DA1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11. Dayanıklı taşınırları zimmet fişi karşılığı kullanıma vermek, zimmet listelerini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hazırlayarak güncellemek,</w:t>
      </w:r>
    </w:p>
    <w:p w14:paraId="624B5599" w14:textId="74DF5BCD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12.Taşınır malzemelerinin kaybolma, çalınma, yıpranma ve hurdaya ayrılması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durumları için amirinin bilgisi dâhilinde mevzuata uygun olarak kayıtlardan düşülme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işlemlerini yapmak,</w:t>
      </w:r>
    </w:p>
    <w:p w14:paraId="7F5BA892" w14:textId="461A1AF8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13. Muayenesi veya kontrolü gereken taşınır malzemelerin tahlil ve kontrolünü takip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etmek.</w:t>
      </w:r>
    </w:p>
    <w:p w14:paraId="7A5EEE55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14. Muayenesi yapılamayan taşınırların geçici kabul işlemlerini yapmak,</w:t>
      </w:r>
    </w:p>
    <w:p w14:paraId="02857511" w14:textId="20BFE981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15. Taşınır sisteminde kayıtlı bulunan demirbaş malzemelerinin Barkotlama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işleminin yapılmasını sağlamak,</w:t>
      </w:r>
    </w:p>
    <w:p w14:paraId="65BE6F9D" w14:textId="7377BD16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16. Kişisel odalar ile laboratuvar, koridor, sınıf gibi ortak kullanım alanlarındaki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dayanıklı taşınırlar için Dayanıklı Taşınır listelerini oluşturmak, ilgili kişilere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zimmetlenmesini sağlamak,</w:t>
      </w:r>
    </w:p>
    <w:p w14:paraId="2CC976C3" w14:textId="0ACF6CE0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17. Malzeme Sayım İşlemlerini yönetmeliklerde belirtilen sürelerde talimatlar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doğrultusunda yapmak,</w:t>
      </w:r>
    </w:p>
    <w:p w14:paraId="47DDE24B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18. Harcama birimlerinin en son kestikleri TİF Numaraları Raporunu hazırlamak,</w:t>
      </w:r>
    </w:p>
    <w:p w14:paraId="0B336DD0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134B054C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4D9B1A15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28930CD8" w14:textId="77777777" w:rsid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60C9907B" w14:textId="01E42604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19. Taşınırların yılsonu sayım işlemlerini yaparak sayım tutanakları ile döküm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cetvellerini düzenlemek, Strateji Geliştirme Dairesi Başkanlığına sunmak,</w:t>
      </w:r>
    </w:p>
    <w:p w14:paraId="2FB8B812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20. Kullanımdan düşen demirbaş malzemelerinin tespitini yapmak,</w:t>
      </w:r>
    </w:p>
    <w:p w14:paraId="5C7A47E7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21. Bütçe hazırlanmasında mutemetlik ile koordineli olarak çalışmak,</w:t>
      </w:r>
    </w:p>
    <w:p w14:paraId="5A25600D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22. Harcama cetvellerini mali işler bürosu ile eşgüdümlü olarak aylık takip etmek,</w:t>
      </w:r>
    </w:p>
    <w:p w14:paraId="25A8EC72" w14:textId="0E12BB4D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23. Fakültede görev alanı ile ilgili raporları hazırlamak, bunlar için temel teşkil eden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istatistikî bilgileri tutmak,</w:t>
      </w:r>
    </w:p>
    <w:p w14:paraId="3F84CE5C" w14:textId="7555E010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24.Yapılan iş ve işlemlerde üst yöneticileri bilgilendirmek, yapılamayan işleri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 xml:space="preserve">gerekçeleri </w:t>
      </w:r>
      <w:proofErr w:type="gramStart"/>
      <w:r w:rsidRPr="000D0826">
        <w:rPr>
          <w:rFonts w:ascii="Cambria" w:hAnsi="Cambria"/>
          <w:sz w:val="22"/>
          <w:szCs w:val="22"/>
        </w:rPr>
        <w:t>ile birlikte</w:t>
      </w:r>
      <w:proofErr w:type="gramEnd"/>
      <w:r w:rsidRPr="000D0826">
        <w:rPr>
          <w:rFonts w:ascii="Cambria" w:hAnsi="Cambria"/>
          <w:sz w:val="22"/>
          <w:szCs w:val="22"/>
        </w:rPr>
        <w:t xml:space="preserve"> açıklamak,</w:t>
      </w:r>
    </w:p>
    <w:p w14:paraId="032FA996" w14:textId="5D5D32CE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25.Çalışma ortamında iş sağlığı ve güvenliği ile ilgili hususlara dikkat etmek,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tasarruf tedbirlerine uymak.</w:t>
      </w:r>
    </w:p>
    <w:p w14:paraId="5689A241" w14:textId="77777777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26. Çalışma sırasında çabukluk, gizlilik ve doğruluk ilkelerinden ayrılmamak,</w:t>
      </w:r>
    </w:p>
    <w:p w14:paraId="387E824B" w14:textId="24E83122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27.İş verimliliği ve barışı açısından diğer birimlerle uyum içerisinde çalışmaya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gayret etmek,</w:t>
      </w:r>
    </w:p>
    <w:p w14:paraId="03AAC1E3" w14:textId="0939B865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26.Yazışmaları “Resmi Yazışmalarda Uygulanacak Esas ve Usuller Hakkındaki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Yönetmelik” ve “Çankırı Karatekin Üniversitesi Resmi Yazışma Kurallarına uygun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olarak düzenlemek, imzaya çıkacak yazıları hazırlamak, ilgili yerlere ulaşmasını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sağlamak,</w:t>
      </w:r>
    </w:p>
    <w:p w14:paraId="649A8E0B" w14:textId="72445144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27.Fakültede görev yapan diğer idari personelin görevli, izinli, raporlu olması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durumunda, üst yöneticilerin uygun görmesi halinde, sözü edilen personel işlerine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vekâlet etmek,</w:t>
      </w:r>
    </w:p>
    <w:p w14:paraId="2188B842" w14:textId="7B351320" w:rsidR="000D0826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28.Bağlı olduğu süreç ile üst yöneticileri tarafından verilen diğer iş ve işlemleri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yapmak,</w:t>
      </w:r>
    </w:p>
    <w:p w14:paraId="2CC4A985" w14:textId="2F1ECDAE" w:rsidR="00A8635E" w:rsidRPr="000D0826" w:rsidRDefault="000D0826" w:rsidP="000D0826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0D0826">
        <w:rPr>
          <w:rFonts w:ascii="Cambria" w:hAnsi="Cambria"/>
          <w:sz w:val="22"/>
          <w:szCs w:val="22"/>
        </w:rPr>
        <w:t>29.Görev alanı itibariyle yürütmekle yükümlü bulunduğu hizmetlerin yerine</w:t>
      </w:r>
      <w:r>
        <w:rPr>
          <w:rFonts w:ascii="Cambria" w:hAnsi="Cambria"/>
          <w:sz w:val="22"/>
          <w:szCs w:val="22"/>
        </w:rPr>
        <w:t xml:space="preserve"> </w:t>
      </w:r>
      <w:r w:rsidRPr="000D0826">
        <w:rPr>
          <w:rFonts w:ascii="Cambria" w:hAnsi="Cambria"/>
          <w:sz w:val="22"/>
          <w:szCs w:val="22"/>
        </w:rPr>
        <w:t>getirilmesinden dolayı amirlerine karşı sorumludur.</w:t>
      </w:r>
    </w:p>
    <w:sectPr w:rsidR="00A8635E" w:rsidRPr="000D0826" w:rsidSect="00C80B34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7851" w14:textId="77777777" w:rsidR="00C80B34" w:rsidRDefault="00C80B34" w:rsidP="00363228">
      <w:pPr>
        <w:spacing w:after="0" w:line="240" w:lineRule="auto"/>
      </w:pPr>
      <w:r>
        <w:separator/>
      </w:r>
    </w:p>
  </w:endnote>
  <w:endnote w:type="continuationSeparator" w:id="0">
    <w:p w14:paraId="5C0A086B" w14:textId="77777777" w:rsidR="00C80B34" w:rsidRDefault="00C80B34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7E5" w14:textId="77777777" w:rsidR="00C80B34" w:rsidRDefault="00C80B34" w:rsidP="00363228">
      <w:pPr>
        <w:spacing w:after="0" w:line="240" w:lineRule="auto"/>
      </w:pPr>
      <w:r>
        <w:separator/>
      </w:r>
    </w:p>
  </w:footnote>
  <w:footnote w:type="continuationSeparator" w:id="0">
    <w:p w14:paraId="21F39F66" w14:textId="77777777" w:rsidR="00C80B34" w:rsidRDefault="00C80B34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8E2692D" w14:textId="77777777" w:rsidR="000D0826" w:rsidRDefault="000D0826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bCs/>
              <w:color w:val="002060"/>
            </w:rPr>
          </w:pPr>
          <w:r w:rsidRPr="000D0826">
            <w:rPr>
              <w:rFonts w:ascii="Cambria" w:hAnsi="Cambria"/>
              <w:b/>
              <w:bCs/>
              <w:color w:val="002060"/>
            </w:rPr>
            <w:t xml:space="preserve">MALİ İŞLER (MUHASEBE İŞLERİ) </w:t>
          </w:r>
        </w:p>
        <w:p w14:paraId="3DC7CBEF" w14:textId="482B0B25" w:rsidR="008607F7" w:rsidRPr="00477A66" w:rsidRDefault="0069404C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7E5CD686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0D0826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D0826"/>
    <w:rsid w:val="000F593A"/>
    <w:rsid w:val="001128D1"/>
    <w:rsid w:val="0016324D"/>
    <w:rsid w:val="001661E4"/>
    <w:rsid w:val="001D0328"/>
    <w:rsid w:val="001E5569"/>
    <w:rsid w:val="001F0555"/>
    <w:rsid w:val="00204DA6"/>
    <w:rsid w:val="002263F6"/>
    <w:rsid w:val="00245B7A"/>
    <w:rsid w:val="00265CB3"/>
    <w:rsid w:val="0028073D"/>
    <w:rsid w:val="0029497B"/>
    <w:rsid w:val="0029510B"/>
    <w:rsid w:val="002D3B02"/>
    <w:rsid w:val="002D43C0"/>
    <w:rsid w:val="00323C35"/>
    <w:rsid w:val="0033355F"/>
    <w:rsid w:val="00363228"/>
    <w:rsid w:val="003C4331"/>
    <w:rsid w:val="003C5D4B"/>
    <w:rsid w:val="00413CA3"/>
    <w:rsid w:val="00434D85"/>
    <w:rsid w:val="004C3E0E"/>
    <w:rsid w:val="004C7C17"/>
    <w:rsid w:val="004E1CC6"/>
    <w:rsid w:val="004E2246"/>
    <w:rsid w:val="004F56DE"/>
    <w:rsid w:val="0053707D"/>
    <w:rsid w:val="005959F8"/>
    <w:rsid w:val="005975C2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F159C"/>
    <w:rsid w:val="00845ADE"/>
    <w:rsid w:val="00855939"/>
    <w:rsid w:val="00855BCE"/>
    <w:rsid w:val="008607F7"/>
    <w:rsid w:val="008636A3"/>
    <w:rsid w:val="00863C07"/>
    <w:rsid w:val="008A0951"/>
    <w:rsid w:val="008A333A"/>
    <w:rsid w:val="008B3921"/>
    <w:rsid w:val="008D17B6"/>
    <w:rsid w:val="008D1EA8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80B34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0BFC"/>
    <w:rsid w:val="00F61227"/>
    <w:rsid w:val="00F61E54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35</cp:revision>
  <cp:lastPrinted>2018-07-20T11:01:00Z</cp:lastPrinted>
  <dcterms:created xsi:type="dcterms:W3CDTF">2024-03-07T14:16:00Z</dcterms:created>
  <dcterms:modified xsi:type="dcterms:W3CDTF">2024-03-07T19:44:00Z</dcterms:modified>
</cp:coreProperties>
</file>